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4C" w:rsidRDefault="00786E43">
      <w:pPr>
        <w:pStyle w:val="Title"/>
      </w:pPr>
      <w:bookmarkStart w:id="0" w:name="_GoBack"/>
      <w:bookmarkEnd w:id="0"/>
      <w:r>
        <w:t>HEALTH SURVEILLANCE REPORT</w:t>
      </w:r>
    </w:p>
    <w:p w:rsidR="000249D2" w:rsidRPr="002029A2" w:rsidRDefault="000249D2">
      <w:pPr>
        <w:pStyle w:val="Title"/>
        <w:rPr>
          <w:sz w:val="18"/>
          <w:szCs w:val="18"/>
        </w:rPr>
      </w:pPr>
      <w:r w:rsidRPr="002029A2">
        <w:rPr>
          <w:sz w:val="18"/>
          <w:szCs w:val="18"/>
        </w:rPr>
        <w:t>[</w:t>
      </w:r>
      <w:r w:rsidRPr="002029A2">
        <w:rPr>
          <w:color w:val="FF0000"/>
          <w:sz w:val="18"/>
          <w:szCs w:val="18"/>
        </w:rPr>
        <w:t>Facility name here</w:t>
      </w:r>
      <w:r w:rsidRPr="002029A2">
        <w:rPr>
          <w:sz w:val="18"/>
          <w:szCs w:val="18"/>
        </w:rPr>
        <w:t>]</w:t>
      </w:r>
    </w:p>
    <w:p w:rsidR="00786E43" w:rsidRPr="002B5F5E" w:rsidRDefault="00605C4C">
      <w:pPr>
        <w:jc w:val="center"/>
        <w:rPr>
          <w:sz w:val="18"/>
          <w:szCs w:val="18"/>
        </w:rPr>
      </w:pPr>
      <w:r w:rsidRPr="002B5F5E">
        <w:rPr>
          <w:sz w:val="18"/>
          <w:szCs w:val="18"/>
        </w:rPr>
        <w:t xml:space="preserve">University of South Florida, Division of Comparative Medicine, </w:t>
      </w:r>
    </w:p>
    <w:p w:rsidR="00605C4C" w:rsidRPr="002B5F5E" w:rsidRDefault="00605C4C">
      <w:pPr>
        <w:jc w:val="center"/>
        <w:rPr>
          <w:sz w:val="18"/>
          <w:szCs w:val="18"/>
        </w:rPr>
      </w:pPr>
      <w:r w:rsidRPr="002B5F5E">
        <w:rPr>
          <w:sz w:val="18"/>
          <w:szCs w:val="18"/>
        </w:rPr>
        <w:t>12901 Bruce B. Downs Blvd., MDC 20, Tampa, FL 33612</w:t>
      </w:r>
    </w:p>
    <w:p w:rsidR="00605C4C" w:rsidRPr="002B5F5E" w:rsidRDefault="00605C4C">
      <w:pPr>
        <w:jc w:val="center"/>
        <w:rPr>
          <w:sz w:val="18"/>
          <w:szCs w:val="18"/>
        </w:rPr>
      </w:pPr>
      <w:r w:rsidRPr="002B5F5E">
        <w:rPr>
          <w:sz w:val="18"/>
          <w:szCs w:val="18"/>
        </w:rPr>
        <w:t xml:space="preserve">Telephone (813) </w:t>
      </w:r>
      <w:r w:rsidR="00AA00EE" w:rsidRPr="002B5F5E">
        <w:rPr>
          <w:sz w:val="18"/>
          <w:szCs w:val="18"/>
        </w:rPr>
        <w:t>974-9876</w:t>
      </w:r>
    </w:p>
    <w:p w:rsidR="00786E43" w:rsidRPr="00786E43" w:rsidRDefault="00786E43">
      <w:pPr>
        <w:jc w:val="center"/>
        <w:rPr>
          <w:sz w:val="20"/>
        </w:rPr>
      </w:pPr>
    </w:p>
    <w:p w:rsidR="00605C4C" w:rsidRPr="001F2630" w:rsidRDefault="00605C4C">
      <w:pPr>
        <w:pStyle w:val="Heading3"/>
        <w:rPr>
          <w:sz w:val="22"/>
          <w:szCs w:val="22"/>
        </w:rPr>
      </w:pPr>
      <w:r w:rsidRPr="001F2630">
        <w:rPr>
          <w:sz w:val="22"/>
          <w:szCs w:val="22"/>
        </w:rPr>
        <w:t>ANIMAL HEALTH INFORMATION</w:t>
      </w:r>
    </w:p>
    <w:p w:rsidR="006D4B16" w:rsidRPr="0025438E" w:rsidRDefault="006D4B16" w:rsidP="006D4B16">
      <w:pPr>
        <w:rPr>
          <w:sz w:val="20"/>
        </w:rPr>
      </w:pPr>
    </w:p>
    <w:p w:rsidR="00B30F11" w:rsidRPr="001F2630" w:rsidRDefault="006D4B16" w:rsidP="00786E43">
      <w:pPr>
        <w:rPr>
          <w:sz w:val="22"/>
          <w:szCs w:val="22"/>
        </w:rPr>
      </w:pPr>
      <w:r w:rsidRPr="001F2630">
        <w:rPr>
          <w:sz w:val="22"/>
          <w:szCs w:val="22"/>
        </w:rPr>
        <w:t xml:space="preserve">The University of South Florida, Division of Comparative Medicine, </w:t>
      </w:r>
      <w:proofErr w:type="gramStart"/>
      <w:r w:rsidRPr="001F2630">
        <w:rPr>
          <w:sz w:val="22"/>
          <w:szCs w:val="22"/>
        </w:rPr>
        <w:t>is fully accredited</w:t>
      </w:r>
      <w:proofErr w:type="gramEnd"/>
      <w:r w:rsidRPr="001F2630">
        <w:rPr>
          <w:sz w:val="22"/>
          <w:szCs w:val="22"/>
        </w:rPr>
        <w:t xml:space="preserve"> by AAALAC International.  Animal care staff wear dedicated clothing and research staff are required to don disposable laboratory coats</w:t>
      </w:r>
      <w:r w:rsidR="00912801" w:rsidRPr="001F2630">
        <w:rPr>
          <w:sz w:val="22"/>
          <w:szCs w:val="22"/>
        </w:rPr>
        <w:t>, shoe covers,</w:t>
      </w:r>
      <w:r w:rsidRPr="001F2630">
        <w:rPr>
          <w:sz w:val="22"/>
          <w:szCs w:val="22"/>
        </w:rPr>
        <w:t xml:space="preserve"> and gloves whenever entering animal housing areas or handling animals.  </w:t>
      </w:r>
      <w:r w:rsidR="00A363D8" w:rsidRPr="001F2630">
        <w:rPr>
          <w:sz w:val="22"/>
          <w:szCs w:val="22"/>
        </w:rPr>
        <w:t xml:space="preserve">All </w:t>
      </w:r>
      <w:r w:rsidR="00394865" w:rsidRPr="001F2630">
        <w:rPr>
          <w:sz w:val="22"/>
          <w:szCs w:val="22"/>
        </w:rPr>
        <w:t xml:space="preserve">rats </w:t>
      </w:r>
      <w:proofErr w:type="gramStart"/>
      <w:r w:rsidR="00A363D8" w:rsidRPr="001F2630">
        <w:rPr>
          <w:sz w:val="22"/>
          <w:szCs w:val="22"/>
        </w:rPr>
        <w:t>are either</w:t>
      </w:r>
      <w:proofErr w:type="gramEnd"/>
      <w:r w:rsidR="00A363D8" w:rsidRPr="001F2630">
        <w:rPr>
          <w:sz w:val="22"/>
          <w:szCs w:val="22"/>
        </w:rPr>
        <w:t xml:space="preserve"> obtained from approved reputable commercial vendors or undergo quarantine and testing prior to</w:t>
      </w:r>
      <w:r w:rsidR="00B30F11" w:rsidRPr="001F2630">
        <w:rPr>
          <w:sz w:val="22"/>
          <w:szCs w:val="22"/>
        </w:rPr>
        <w:t xml:space="preserve"> </w:t>
      </w:r>
      <w:r w:rsidR="00A363D8" w:rsidRPr="001F2630">
        <w:rPr>
          <w:sz w:val="22"/>
          <w:szCs w:val="22"/>
        </w:rPr>
        <w:t xml:space="preserve">being released into housing areas. </w:t>
      </w:r>
      <w:r w:rsidR="000904E2" w:rsidRPr="001F2630">
        <w:rPr>
          <w:sz w:val="22"/>
          <w:szCs w:val="22"/>
        </w:rPr>
        <w:t xml:space="preserve"> </w:t>
      </w:r>
      <w:r w:rsidRPr="001F2630">
        <w:rPr>
          <w:sz w:val="22"/>
          <w:szCs w:val="22"/>
        </w:rPr>
        <w:t xml:space="preserve">This </w:t>
      </w:r>
      <w:r w:rsidR="00786E43" w:rsidRPr="001F2630">
        <w:rPr>
          <w:sz w:val="22"/>
          <w:szCs w:val="22"/>
        </w:rPr>
        <w:t xml:space="preserve">facility </w:t>
      </w:r>
      <w:r w:rsidRPr="001F2630">
        <w:rPr>
          <w:sz w:val="22"/>
          <w:szCs w:val="22"/>
        </w:rPr>
        <w:t xml:space="preserve">houses </w:t>
      </w:r>
      <w:r w:rsidR="00394865" w:rsidRPr="001F2630">
        <w:rPr>
          <w:sz w:val="22"/>
          <w:szCs w:val="22"/>
        </w:rPr>
        <w:t xml:space="preserve">rats </w:t>
      </w:r>
      <w:r w:rsidRPr="001F2630">
        <w:rPr>
          <w:sz w:val="22"/>
          <w:szCs w:val="22"/>
        </w:rPr>
        <w:t>in</w:t>
      </w:r>
      <w:r w:rsidR="00912801" w:rsidRPr="001F2630">
        <w:rPr>
          <w:sz w:val="22"/>
          <w:szCs w:val="22"/>
        </w:rPr>
        <w:t xml:space="preserve"> </w:t>
      </w:r>
      <w:proofErr w:type="gramStart"/>
      <w:r w:rsidR="00912801" w:rsidRPr="001F2630">
        <w:rPr>
          <w:sz w:val="22"/>
          <w:szCs w:val="22"/>
        </w:rPr>
        <w:t>individually-ventilated</w:t>
      </w:r>
      <w:proofErr w:type="gramEnd"/>
      <w:r w:rsidR="00912801" w:rsidRPr="001F2630">
        <w:rPr>
          <w:sz w:val="22"/>
          <w:szCs w:val="22"/>
        </w:rPr>
        <w:t xml:space="preserve"> caging and</w:t>
      </w:r>
      <w:r w:rsidRPr="001F2630">
        <w:rPr>
          <w:sz w:val="22"/>
          <w:szCs w:val="22"/>
        </w:rPr>
        <w:t xml:space="preserve"> static microisolators</w:t>
      </w:r>
      <w:r w:rsidR="00786E43" w:rsidRPr="001F2630">
        <w:rPr>
          <w:sz w:val="22"/>
          <w:szCs w:val="22"/>
        </w:rPr>
        <w:t>.</w:t>
      </w:r>
      <w:r w:rsidR="000249D2" w:rsidRPr="001F2630">
        <w:rPr>
          <w:sz w:val="22"/>
          <w:szCs w:val="22"/>
        </w:rPr>
        <w:t xml:space="preserve"> </w:t>
      </w:r>
      <w:r w:rsidR="0025438E" w:rsidRPr="001F2630">
        <w:rPr>
          <w:rFonts w:cs="Arial"/>
          <w:bCs/>
          <w:sz w:val="22"/>
          <w:szCs w:val="22"/>
        </w:rPr>
        <w:t xml:space="preserve">Gloved hands </w:t>
      </w:r>
      <w:proofErr w:type="gramStart"/>
      <w:r w:rsidR="0025438E" w:rsidRPr="001F2630">
        <w:rPr>
          <w:rFonts w:cs="Arial"/>
          <w:bCs/>
          <w:sz w:val="22"/>
          <w:szCs w:val="22"/>
        </w:rPr>
        <w:t>are disinfected</w:t>
      </w:r>
      <w:proofErr w:type="gramEnd"/>
      <w:r w:rsidR="0025438E" w:rsidRPr="001F2630">
        <w:rPr>
          <w:rFonts w:cs="Arial"/>
          <w:bCs/>
          <w:sz w:val="22"/>
          <w:szCs w:val="22"/>
        </w:rPr>
        <w:t xml:space="preserve"> with Clidox between cage/animal changes. </w:t>
      </w:r>
      <w:r w:rsidR="00786E43" w:rsidRPr="001F2630">
        <w:rPr>
          <w:sz w:val="22"/>
          <w:szCs w:val="22"/>
        </w:rPr>
        <w:t>S</w:t>
      </w:r>
      <w:r w:rsidRPr="001F2630">
        <w:rPr>
          <w:sz w:val="22"/>
          <w:szCs w:val="22"/>
        </w:rPr>
        <w:t xml:space="preserve">entinel </w:t>
      </w:r>
      <w:r w:rsidR="00394865" w:rsidRPr="001F2630">
        <w:rPr>
          <w:sz w:val="22"/>
          <w:szCs w:val="22"/>
        </w:rPr>
        <w:t xml:space="preserve">rats </w:t>
      </w:r>
      <w:proofErr w:type="gramStart"/>
      <w:r w:rsidR="00786E43" w:rsidRPr="001F2630">
        <w:rPr>
          <w:sz w:val="22"/>
          <w:szCs w:val="22"/>
        </w:rPr>
        <w:t>are evaluated</w:t>
      </w:r>
      <w:proofErr w:type="gramEnd"/>
      <w:r w:rsidR="00786E43" w:rsidRPr="001F2630">
        <w:rPr>
          <w:sz w:val="22"/>
          <w:szCs w:val="22"/>
        </w:rPr>
        <w:t xml:space="preserve"> </w:t>
      </w:r>
      <w:r w:rsidRPr="001F2630">
        <w:rPr>
          <w:sz w:val="22"/>
          <w:szCs w:val="22"/>
        </w:rPr>
        <w:t xml:space="preserve">every </w:t>
      </w:r>
      <w:r w:rsidR="00912801" w:rsidRPr="001F2630">
        <w:rPr>
          <w:sz w:val="22"/>
          <w:szCs w:val="22"/>
        </w:rPr>
        <w:t>3</w:t>
      </w:r>
      <w:r w:rsidRPr="001F2630">
        <w:rPr>
          <w:sz w:val="22"/>
          <w:szCs w:val="22"/>
        </w:rPr>
        <w:t xml:space="preserve"> months for evidence of exposure to murine pathogens.  Sentinels </w:t>
      </w:r>
      <w:proofErr w:type="gramStart"/>
      <w:r w:rsidRPr="001F2630">
        <w:rPr>
          <w:sz w:val="22"/>
          <w:szCs w:val="22"/>
        </w:rPr>
        <w:t>are exposed</w:t>
      </w:r>
      <w:proofErr w:type="gramEnd"/>
      <w:r w:rsidRPr="001F2630">
        <w:rPr>
          <w:sz w:val="22"/>
          <w:szCs w:val="22"/>
        </w:rPr>
        <w:t xml:space="preserve"> to soiled bedding from occupied microisolators present on the same rack for a period of </w:t>
      </w:r>
      <w:r w:rsidR="00394865" w:rsidRPr="001F2630">
        <w:rPr>
          <w:sz w:val="22"/>
          <w:szCs w:val="22"/>
        </w:rPr>
        <w:t xml:space="preserve">10 </w:t>
      </w:r>
      <w:r w:rsidRPr="001F2630">
        <w:rPr>
          <w:sz w:val="22"/>
          <w:szCs w:val="22"/>
        </w:rPr>
        <w:t xml:space="preserve">weeks.  After the </w:t>
      </w:r>
      <w:proofErr w:type="gramStart"/>
      <w:r w:rsidR="00394865" w:rsidRPr="001F2630">
        <w:rPr>
          <w:sz w:val="22"/>
          <w:szCs w:val="22"/>
        </w:rPr>
        <w:t xml:space="preserve">10 </w:t>
      </w:r>
      <w:r w:rsidRPr="001F2630">
        <w:rPr>
          <w:sz w:val="22"/>
          <w:szCs w:val="22"/>
        </w:rPr>
        <w:t>week</w:t>
      </w:r>
      <w:proofErr w:type="gramEnd"/>
      <w:r w:rsidRPr="001F2630">
        <w:rPr>
          <w:sz w:val="22"/>
          <w:szCs w:val="22"/>
        </w:rPr>
        <w:t xml:space="preserve"> exposure period, sentinels </w:t>
      </w:r>
      <w:r w:rsidR="00912801" w:rsidRPr="001F2630">
        <w:rPr>
          <w:rFonts w:cs="Arial"/>
          <w:sz w:val="22"/>
          <w:szCs w:val="22"/>
        </w:rPr>
        <w:t>are evaluated by submitting samples to the IDEXX RADIL BioResearch Diagnostic Laboratory</w:t>
      </w:r>
      <w:r w:rsidR="005C0EBD" w:rsidRPr="001F2630">
        <w:rPr>
          <w:rFonts w:cs="Arial"/>
          <w:sz w:val="22"/>
          <w:szCs w:val="22"/>
        </w:rPr>
        <w:t>.</w:t>
      </w:r>
      <w:r w:rsidRPr="001F2630">
        <w:rPr>
          <w:sz w:val="22"/>
          <w:szCs w:val="22"/>
        </w:rPr>
        <w:t xml:space="preserve"> </w:t>
      </w:r>
      <w:r w:rsidRPr="001F2630">
        <w:rPr>
          <w:snapToGrid w:val="0"/>
          <w:color w:val="000000"/>
          <w:sz w:val="22"/>
          <w:szCs w:val="22"/>
        </w:rPr>
        <w:t xml:space="preserve">Sentinel </w:t>
      </w:r>
      <w:r w:rsidR="00394865" w:rsidRPr="001F2630">
        <w:rPr>
          <w:snapToGrid w:val="0"/>
          <w:color w:val="000000"/>
          <w:sz w:val="22"/>
          <w:szCs w:val="22"/>
        </w:rPr>
        <w:t xml:space="preserve">rats </w:t>
      </w:r>
      <w:proofErr w:type="gramStart"/>
      <w:r w:rsidRPr="001F2630">
        <w:rPr>
          <w:snapToGrid w:val="0"/>
          <w:color w:val="000000"/>
          <w:sz w:val="22"/>
          <w:szCs w:val="22"/>
        </w:rPr>
        <w:t xml:space="preserve">are </w:t>
      </w:r>
      <w:r w:rsidR="00912801" w:rsidRPr="001F2630">
        <w:rPr>
          <w:snapToGrid w:val="0"/>
          <w:color w:val="000000"/>
          <w:sz w:val="22"/>
          <w:szCs w:val="22"/>
        </w:rPr>
        <w:t>evaluated</w:t>
      </w:r>
      <w:proofErr w:type="gramEnd"/>
      <w:r w:rsidRPr="001F2630">
        <w:rPr>
          <w:snapToGrid w:val="0"/>
          <w:color w:val="000000"/>
          <w:sz w:val="22"/>
          <w:szCs w:val="22"/>
        </w:rPr>
        <w:t xml:space="preserve"> </w:t>
      </w:r>
      <w:r w:rsidR="0063781F" w:rsidRPr="001F2630">
        <w:rPr>
          <w:snapToGrid w:val="0"/>
          <w:color w:val="000000"/>
          <w:sz w:val="22"/>
          <w:szCs w:val="22"/>
        </w:rPr>
        <w:t xml:space="preserve">serologically </w:t>
      </w:r>
      <w:r w:rsidR="00912801" w:rsidRPr="001F2630">
        <w:rPr>
          <w:snapToGrid w:val="0"/>
          <w:color w:val="000000"/>
          <w:sz w:val="22"/>
          <w:szCs w:val="22"/>
        </w:rPr>
        <w:t xml:space="preserve">every 3 months during </w:t>
      </w:r>
      <w:r w:rsidRPr="001F2630">
        <w:rPr>
          <w:snapToGrid w:val="0"/>
          <w:color w:val="000000"/>
          <w:sz w:val="22"/>
          <w:szCs w:val="22"/>
        </w:rPr>
        <w:t>the months of</w:t>
      </w:r>
      <w:r w:rsidR="00912801" w:rsidRPr="001F2630">
        <w:rPr>
          <w:snapToGrid w:val="0"/>
          <w:color w:val="000000"/>
          <w:sz w:val="22"/>
          <w:szCs w:val="22"/>
        </w:rPr>
        <w:t xml:space="preserve"> February, </w:t>
      </w:r>
      <w:r w:rsidRPr="001F2630">
        <w:rPr>
          <w:snapToGrid w:val="0"/>
          <w:color w:val="000000"/>
          <w:sz w:val="22"/>
          <w:szCs w:val="22"/>
        </w:rPr>
        <w:t>May</w:t>
      </w:r>
      <w:r w:rsidR="005C0EBD" w:rsidRPr="001F2630">
        <w:rPr>
          <w:snapToGrid w:val="0"/>
          <w:color w:val="000000"/>
          <w:sz w:val="22"/>
          <w:szCs w:val="22"/>
        </w:rPr>
        <w:t>, August</w:t>
      </w:r>
      <w:r w:rsidRPr="001F2630">
        <w:rPr>
          <w:snapToGrid w:val="0"/>
          <w:color w:val="000000"/>
          <w:sz w:val="22"/>
          <w:szCs w:val="22"/>
        </w:rPr>
        <w:t xml:space="preserve"> and November </w:t>
      </w:r>
      <w:r w:rsidRPr="001F2630">
        <w:rPr>
          <w:sz w:val="22"/>
          <w:szCs w:val="22"/>
        </w:rPr>
        <w:t xml:space="preserve">for evidence of exposure to </w:t>
      </w:r>
      <w:r w:rsidR="005C0EBD" w:rsidRPr="001F2630">
        <w:rPr>
          <w:sz w:val="22"/>
          <w:szCs w:val="22"/>
        </w:rPr>
        <w:t>the agents listed below.</w:t>
      </w:r>
      <w:r w:rsidR="00A6016D" w:rsidRPr="001F2630">
        <w:rPr>
          <w:sz w:val="22"/>
          <w:szCs w:val="22"/>
        </w:rPr>
        <w:t xml:space="preserve">  </w:t>
      </w:r>
      <w:r w:rsidR="005C0EBD" w:rsidRPr="001F2630">
        <w:rPr>
          <w:sz w:val="22"/>
          <w:szCs w:val="22"/>
        </w:rPr>
        <w:t xml:space="preserve">Additionally, </w:t>
      </w:r>
      <w:r w:rsidR="005C0EBD" w:rsidRPr="001F2630">
        <w:rPr>
          <w:rFonts w:cs="Arial"/>
          <w:sz w:val="22"/>
          <w:szCs w:val="22"/>
        </w:rPr>
        <w:t xml:space="preserve">sentinels </w:t>
      </w:r>
      <w:proofErr w:type="gramStart"/>
      <w:r w:rsidR="005C0EBD" w:rsidRPr="001F2630">
        <w:rPr>
          <w:rFonts w:cs="Arial"/>
          <w:sz w:val="22"/>
          <w:szCs w:val="22"/>
        </w:rPr>
        <w:t>are evaluated</w:t>
      </w:r>
      <w:proofErr w:type="gramEnd"/>
      <w:r w:rsidR="005C0EBD" w:rsidRPr="001F2630">
        <w:rPr>
          <w:rFonts w:cs="Arial"/>
          <w:sz w:val="22"/>
          <w:szCs w:val="22"/>
        </w:rPr>
        <w:t xml:space="preserve"> semiannually during the months of May and November for evidence of ectoparasites using a fur mite PCR, endoparasites using a pinworm PCR</w:t>
      </w:r>
      <w:r w:rsidR="005C0EBD" w:rsidRPr="001F2630">
        <w:rPr>
          <w:rFonts w:cs="Arial"/>
          <w:snapToGrid w:val="0"/>
          <w:color w:val="000000"/>
          <w:sz w:val="22"/>
          <w:szCs w:val="22"/>
        </w:rPr>
        <w:t xml:space="preserve">, </w:t>
      </w:r>
      <w:r w:rsidR="00B30F11" w:rsidRPr="001F2630">
        <w:rPr>
          <w:sz w:val="22"/>
          <w:szCs w:val="22"/>
        </w:rPr>
        <w:t>Additional health evaluations are conducted at the discretion of the veterinarians upon consultation with the research staff.</w:t>
      </w:r>
      <w:r w:rsidR="00870B54" w:rsidRPr="001F2630">
        <w:rPr>
          <w:sz w:val="22"/>
          <w:szCs w:val="22"/>
        </w:rPr>
        <w:t xml:space="preserve"> Summarized below </w:t>
      </w:r>
      <w:proofErr w:type="gramStart"/>
      <w:r w:rsidR="00870B54" w:rsidRPr="001F2630">
        <w:rPr>
          <w:sz w:val="22"/>
          <w:szCs w:val="22"/>
        </w:rPr>
        <w:t>are the</w:t>
      </w:r>
      <w:r w:rsidR="00786E43" w:rsidRPr="001F2630">
        <w:rPr>
          <w:sz w:val="22"/>
          <w:szCs w:val="22"/>
        </w:rPr>
        <w:t xml:space="preserve"> </w:t>
      </w:r>
      <w:r w:rsidR="00B30F11" w:rsidRPr="001F2630">
        <w:rPr>
          <w:sz w:val="22"/>
          <w:szCs w:val="22"/>
        </w:rPr>
        <w:t xml:space="preserve">health evaluations of sentinel </w:t>
      </w:r>
      <w:r w:rsidR="002B5F5E">
        <w:rPr>
          <w:sz w:val="22"/>
          <w:szCs w:val="22"/>
        </w:rPr>
        <w:t>rats housed</w:t>
      </w:r>
      <w:proofErr w:type="gramEnd"/>
      <w:r w:rsidR="002B5F5E">
        <w:rPr>
          <w:sz w:val="22"/>
          <w:szCs w:val="22"/>
        </w:rPr>
        <w:t xml:space="preserve"> in the same room</w:t>
      </w:r>
      <w:r w:rsidR="00B30F11" w:rsidRPr="001F2630">
        <w:rPr>
          <w:sz w:val="22"/>
          <w:szCs w:val="22"/>
        </w:rPr>
        <w:t xml:space="preserve">. </w:t>
      </w:r>
    </w:p>
    <w:p w:rsidR="00B36AF8" w:rsidRPr="0025438E" w:rsidRDefault="00605C4C">
      <w:pPr>
        <w:pStyle w:val="BodyText"/>
        <w:tabs>
          <w:tab w:val="left" w:pos="369"/>
          <w:tab w:val="left" w:pos="720"/>
          <w:tab w:val="left" w:pos="1108"/>
          <w:tab w:val="left" w:pos="1440"/>
          <w:tab w:val="left" w:pos="1848"/>
          <w:tab w:val="left" w:pos="2217"/>
          <w:tab w:val="left" w:pos="2587"/>
          <w:tab w:val="right" w:leader="dot" w:pos="9360"/>
        </w:tabs>
        <w:rPr>
          <w:sz w:val="20"/>
        </w:rPr>
      </w:pPr>
      <w:r w:rsidRPr="0025438E">
        <w:rPr>
          <w:sz w:val="20"/>
        </w:rPr>
        <w:t xml:space="preserve"> 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4050"/>
        <w:gridCol w:w="3960"/>
      </w:tblGrid>
      <w:tr w:rsidR="00786E43" w:rsidRPr="0025438E" w:rsidTr="000876D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970" w:type="dxa"/>
            <w:vAlign w:val="bottom"/>
          </w:tcPr>
          <w:p w:rsidR="00786E43" w:rsidRPr="0025438E" w:rsidRDefault="00786E43" w:rsidP="00436798">
            <w:pPr>
              <w:rPr>
                <w:rFonts w:cs="Arial"/>
                <w:b/>
                <w:sz w:val="20"/>
              </w:rPr>
            </w:pPr>
            <w:r w:rsidRPr="0025438E">
              <w:rPr>
                <w:rFonts w:cs="Arial"/>
                <w:b/>
                <w:sz w:val="20"/>
              </w:rPr>
              <w:t>Room:</w:t>
            </w:r>
            <w:r w:rsidR="001A0816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4050" w:type="dxa"/>
            <w:vAlign w:val="bottom"/>
          </w:tcPr>
          <w:p w:rsidR="00786E43" w:rsidRPr="0025438E" w:rsidRDefault="00786E43" w:rsidP="00436798">
            <w:pPr>
              <w:rPr>
                <w:rFonts w:cs="Arial"/>
                <w:b/>
                <w:sz w:val="20"/>
              </w:rPr>
            </w:pPr>
            <w:r w:rsidRPr="0025438E">
              <w:rPr>
                <w:rFonts w:cs="Arial"/>
                <w:b/>
                <w:sz w:val="20"/>
              </w:rPr>
              <w:t>Investigator:</w:t>
            </w:r>
          </w:p>
        </w:tc>
        <w:tc>
          <w:tcPr>
            <w:tcW w:w="3960" w:type="dxa"/>
            <w:vAlign w:val="bottom"/>
          </w:tcPr>
          <w:p w:rsidR="00786E43" w:rsidRPr="0025438E" w:rsidRDefault="00786E43" w:rsidP="0063406A">
            <w:pPr>
              <w:ind w:left="-18" w:right="-108"/>
              <w:rPr>
                <w:rFonts w:cs="Arial"/>
                <w:b/>
                <w:sz w:val="20"/>
              </w:rPr>
            </w:pPr>
            <w:r w:rsidRPr="0025438E">
              <w:rPr>
                <w:rFonts w:cs="Arial"/>
                <w:b/>
                <w:sz w:val="20"/>
              </w:rPr>
              <w:t>Strain or Line:</w:t>
            </w:r>
          </w:p>
        </w:tc>
      </w:tr>
    </w:tbl>
    <w:p w:rsidR="00BD19BF" w:rsidRPr="0025438E" w:rsidRDefault="00BD19BF">
      <w:pPr>
        <w:pStyle w:val="BodyText"/>
        <w:tabs>
          <w:tab w:val="left" w:pos="369"/>
          <w:tab w:val="left" w:pos="720"/>
          <w:tab w:val="left" w:pos="1108"/>
          <w:tab w:val="left" w:pos="1440"/>
          <w:tab w:val="left" w:pos="1848"/>
          <w:tab w:val="left" w:pos="2217"/>
          <w:tab w:val="left" w:pos="2587"/>
          <w:tab w:val="right" w:leader="dot" w:pos="9360"/>
        </w:tabs>
        <w:rPr>
          <w:rFonts w:cs="Arial"/>
          <w:b/>
          <w:sz w:val="20"/>
        </w:rPr>
      </w:pPr>
    </w:p>
    <w:p w:rsidR="0063406A" w:rsidRPr="002029A2" w:rsidRDefault="0063406A">
      <w:pPr>
        <w:pStyle w:val="BodyText"/>
        <w:tabs>
          <w:tab w:val="left" w:pos="369"/>
          <w:tab w:val="left" w:pos="720"/>
          <w:tab w:val="left" w:pos="1108"/>
          <w:tab w:val="left" w:pos="1440"/>
          <w:tab w:val="left" w:pos="1848"/>
          <w:tab w:val="left" w:pos="2217"/>
          <w:tab w:val="left" w:pos="2587"/>
          <w:tab w:val="right" w:leader="dot" w:pos="9360"/>
        </w:tabs>
        <w:rPr>
          <w:sz w:val="18"/>
          <w:szCs w:val="18"/>
        </w:rPr>
      </w:pPr>
      <w:r w:rsidRPr="002029A2">
        <w:rPr>
          <w:rFonts w:cs="Arial"/>
          <w:b/>
          <w:sz w:val="18"/>
          <w:szCs w:val="18"/>
        </w:rPr>
        <w:t>H</w:t>
      </w:r>
      <w:r w:rsidR="002029A2">
        <w:rPr>
          <w:rFonts w:cs="Arial"/>
          <w:b/>
          <w:sz w:val="18"/>
          <w:szCs w:val="18"/>
        </w:rPr>
        <w:t>EALTH</w:t>
      </w:r>
      <w:r w:rsidRPr="002029A2">
        <w:rPr>
          <w:rFonts w:cs="Arial"/>
          <w:b/>
          <w:sz w:val="18"/>
          <w:szCs w:val="18"/>
        </w:rPr>
        <w:t xml:space="preserve"> S</w:t>
      </w:r>
      <w:r w:rsidR="002029A2">
        <w:rPr>
          <w:rFonts w:cs="Arial"/>
          <w:b/>
          <w:sz w:val="18"/>
          <w:szCs w:val="18"/>
        </w:rPr>
        <w:t>URVEILLANCE</w:t>
      </w:r>
      <w:r w:rsidR="00BD19BF" w:rsidRPr="002029A2">
        <w:rPr>
          <w:rFonts w:cs="Arial"/>
          <w:b/>
          <w:sz w:val="18"/>
          <w:szCs w:val="18"/>
        </w:rPr>
        <w:t xml:space="preserve"> S</w:t>
      </w:r>
      <w:r w:rsidR="002029A2">
        <w:rPr>
          <w:rFonts w:cs="Arial"/>
          <w:b/>
          <w:sz w:val="18"/>
          <w:szCs w:val="18"/>
        </w:rPr>
        <w:t>UMMARY</w:t>
      </w:r>
    </w:p>
    <w:tbl>
      <w:tblPr>
        <w:tblpPr w:leftFromText="180" w:rightFromText="180" w:vertAnchor="text" w:horzAnchor="margin" w:tblpXSpec="center" w:tblpY="115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1092"/>
        <w:gridCol w:w="1153"/>
        <w:gridCol w:w="1150"/>
        <w:gridCol w:w="1150"/>
        <w:gridCol w:w="1233"/>
      </w:tblGrid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906EF2">
              <w:rPr>
                <w:rFonts w:cs="Arial"/>
                <w:b/>
                <w:sz w:val="20"/>
              </w:rPr>
              <w:t>AGENT</w:t>
            </w:r>
          </w:p>
          <w:p w:rsidR="001258F1" w:rsidRPr="00906EF2" w:rsidRDefault="001258F1" w:rsidP="00906EF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tabs>
                <w:tab w:val="left" w:pos="797"/>
              </w:tabs>
              <w:ind w:right="-103"/>
              <w:jc w:val="center"/>
              <w:rPr>
                <w:b/>
                <w:sz w:val="20"/>
              </w:rPr>
            </w:pPr>
            <w:r w:rsidRPr="00906EF2">
              <w:rPr>
                <w:b/>
                <w:sz w:val="20"/>
              </w:rPr>
              <w:t>METHOD</w:t>
            </w:r>
          </w:p>
          <w:p w:rsidR="001258F1" w:rsidRPr="00906EF2" w:rsidRDefault="001258F1" w:rsidP="00906EF2">
            <w:pPr>
              <w:tabs>
                <w:tab w:val="left" w:pos="797"/>
              </w:tabs>
              <w:ind w:right="-103"/>
              <w:jc w:val="center"/>
              <w:rPr>
                <w:b/>
                <w:sz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b/>
                <w:sz w:val="20"/>
              </w:rPr>
            </w:pPr>
            <w:r w:rsidRPr="00906EF2">
              <w:rPr>
                <w:b/>
                <w:sz w:val="20"/>
              </w:rPr>
              <w:t>RESULTS</w:t>
            </w:r>
          </w:p>
          <w:p w:rsidR="001258F1" w:rsidRPr="00906EF2" w:rsidRDefault="001258F1" w:rsidP="00906EF2">
            <w:pPr>
              <w:jc w:val="center"/>
              <w:rPr>
                <w:b/>
                <w:color w:val="FF0000"/>
                <w:sz w:val="20"/>
              </w:rPr>
            </w:pPr>
            <w:r w:rsidRPr="00906EF2">
              <w:rPr>
                <w:b/>
                <w:color w:val="FF0000"/>
                <w:sz w:val="20"/>
              </w:rPr>
              <w:t>[Date]</w:t>
            </w:r>
          </w:p>
        </w:tc>
        <w:tc>
          <w:tcPr>
            <w:tcW w:w="1150" w:type="dxa"/>
          </w:tcPr>
          <w:p w:rsidR="001258F1" w:rsidRDefault="001A0816" w:rsidP="00906EF2">
            <w:pPr>
              <w:jc w:val="center"/>
              <w:rPr>
                <w:b/>
                <w:sz w:val="20"/>
              </w:rPr>
            </w:pPr>
            <w:r w:rsidRPr="001A0816">
              <w:rPr>
                <w:b/>
                <w:sz w:val="20"/>
              </w:rPr>
              <w:t>RESULTS</w:t>
            </w:r>
          </w:p>
          <w:p w:rsidR="001F2630" w:rsidRPr="00906EF2" w:rsidRDefault="001F2630" w:rsidP="00906EF2">
            <w:pPr>
              <w:jc w:val="center"/>
              <w:rPr>
                <w:b/>
                <w:sz w:val="20"/>
              </w:rPr>
            </w:pPr>
            <w:r w:rsidRPr="00906EF2">
              <w:rPr>
                <w:b/>
                <w:color w:val="FF0000"/>
                <w:sz w:val="20"/>
              </w:rPr>
              <w:t>[Date]</w:t>
            </w:r>
          </w:p>
        </w:tc>
        <w:tc>
          <w:tcPr>
            <w:tcW w:w="1150" w:type="dxa"/>
          </w:tcPr>
          <w:p w:rsidR="001258F1" w:rsidRDefault="001A0816" w:rsidP="00906EF2">
            <w:pPr>
              <w:jc w:val="center"/>
              <w:rPr>
                <w:b/>
                <w:sz w:val="20"/>
              </w:rPr>
            </w:pPr>
            <w:r w:rsidRPr="001A0816">
              <w:rPr>
                <w:b/>
                <w:sz w:val="20"/>
              </w:rPr>
              <w:t>RESULTS</w:t>
            </w:r>
          </w:p>
          <w:p w:rsidR="001F2630" w:rsidRPr="00906EF2" w:rsidRDefault="001F2630" w:rsidP="00906EF2">
            <w:pPr>
              <w:jc w:val="center"/>
              <w:rPr>
                <w:b/>
                <w:sz w:val="20"/>
              </w:rPr>
            </w:pPr>
            <w:r w:rsidRPr="00906EF2">
              <w:rPr>
                <w:b/>
                <w:color w:val="FF0000"/>
                <w:sz w:val="20"/>
              </w:rPr>
              <w:t>[Date]</w:t>
            </w: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b/>
                <w:sz w:val="20"/>
              </w:rPr>
            </w:pPr>
            <w:r w:rsidRPr="00906EF2">
              <w:rPr>
                <w:b/>
                <w:sz w:val="20"/>
              </w:rPr>
              <w:t>RESULTS</w:t>
            </w:r>
          </w:p>
          <w:p w:rsidR="001258F1" w:rsidRPr="00906EF2" w:rsidRDefault="001258F1" w:rsidP="00906EF2">
            <w:pPr>
              <w:jc w:val="center"/>
              <w:rPr>
                <w:b/>
                <w:sz w:val="20"/>
              </w:rPr>
            </w:pPr>
            <w:r w:rsidRPr="00906EF2">
              <w:rPr>
                <w:b/>
                <w:color w:val="FF0000"/>
                <w:sz w:val="20"/>
              </w:rPr>
              <w:t>[Date]</w:t>
            </w: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rPr>
                <w:rFonts w:cs="Arial"/>
                <w:sz w:val="20"/>
              </w:rPr>
            </w:pPr>
            <w:r w:rsidRPr="00906EF2">
              <w:rPr>
                <w:rFonts w:cs="Arial"/>
                <w:color w:val="333333"/>
                <w:sz w:val="20"/>
              </w:rPr>
              <w:t>Rat Parvovirus (RPV)</w:t>
            </w: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rPr>
                <w:rFonts w:cs="Arial"/>
                <w:sz w:val="20"/>
              </w:rPr>
            </w:pPr>
            <w:r w:rsidRPr="00A371BD">
              <w:rPr>
                <w:rFonts w:cs="Arial"/>
                <w:sz w:val="20"/>
              </w:rPr>
              <w:t>Rat Minute Virus (RMV)</w:t>
            </w: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rPr>
                <w:rFonts w:cs="Arial"/>
                <w:sz w:val="20"/>
              </w:rPr>
            </w:pPr>
            <w:proofErr w:type="spellStart"/>
            <w:r w:rsidRPr="00A371BD">
              <w:rPr>
                <w:rFonts w:cs="Arial"/>
                <w:sz w:val="20"/>
              </w:rPr>
              <w:t>Kilham's</w:t>
            </w:r>
            <w:proofErr w:type="spellEnd"/>
            <w:r w:rsidRPr="00A371BD">
              <w:rPr>
                <w:rFonts w:cs="Arial"/>
                <w:sz w:val="20"/>
              </w:rPr>
              <w:t xml:space="preserve"> Rat Virus (KRV)</w:t>
            </w: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rPr>
                <w:rFonts w:cs="Arial"/>
                <w:sz w:val="20"/>
              </w:rPr>
            </w:pPr>
            <w:proofErr w:type="spellStart"/>
            <w:r w:rsidRPr="00A371BD">
              <w:rPr>
                <w:rFonts w:cs="Arial"/>
                <w:sz w:val="20"/>
              </w:rPr>
              <w:t>Toolan's</w:t>
            </w:r>
            <w:proofErr w:type="spellEnd"/>
            <w:r w:rsidRPr="00A371BD">
              <w:rPr>
                <w:rFonts w:cs="Arial"/>
                <w:sz w:val="20"/>
              </w:rPr>
              <w:t xml:space="preserve"> H1 (H-1)</w:t>
            </w: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rPr>
                <w:rFonts w:cs="Arial"/>
                <w:sz w:val="20"/>
              </w:rPr>
            </w:pPr>
            <w:r w:rsidRPr="00A371BD">
              <w:rPr>
                <w:rFonts w:cs="Arial"/>
                <w:sz w:val="20"/>
              </w:rPr>
              <w:t xml:space="preserve">Rat Coronavirus/ </w:t>
            </w:r>
            <w:proofErr w:type="spellStart"/>
            <w:r w:rsidRPr="00A371BD">
              <w:rPr>
                <w:rFonts w:cs="Arial"/>
                <w:sz w:val="20"/>
              </w:rPr>
              <w:t>Sialodacryoadenitis</w:t>
            </w:r>
            <w:proofErr w:type="spellEnd"/>
            <w:r w:rsidRPr="00A371BD">
              <w:rPr>
                <w:rFonts w:cs="Arial"/>
                <w:sz w:val="20"/>
              </w:rPr>
              <w:t xml:space="preserve"> Virus (RCV/SDAV)</w:t>
            </w: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rPr>
                <w:rFonts w:cs="Arial"/>
                <w:sz w:val="20"/>
              </w:rPr>
            </w:pPr>
            <w:proofErr w:type="spellStart"/>
            <w:r w:rsidRPr="0026373D">
              <w:rPr>
                <w:rFonts w:cs="Arial"/>
                <w:sz w:val="20"/>
              </w:rPr>
              <w:t>Parvo</w:t>
            </w:r>
            <w:proofErr w:type="spellEnd"/>
            <w:r w:rsidRPr="0026373D">
              <w:rPr>
                <w:rFonts w:cs="Arial"/>
                <w:sz w:val="20"/>
              </w:rPr>
              <w:t xml:space="preserve"> (NS-1)</w:t>
            </w: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Rat </w:t>
            </w:r>
            <w:proofErr w:type="spellStart"/>
            <w:r>
              <w:rPr>
                <w:rFonts w:cs="Arial"/>
                <w:sz w:val="20"/>
              </w:rPr>
              <w:t>Theilovirus</w:t>
            </w:r>
            <w:proofErr w:type="spellEnd"/>
            <w:r>
              <w:rPr>
                <w:rFonts w:cs="Arial"/>
                <w:sz w:val="20"/>
              </w:rPr>
              <w:t xml:space="preserve"> (RTV)</w:t>
            </w:r>
          </w:p>
        </w:tc>
        <w:tc>
          <w:tcPr>
            <w:tcW w:w="1092" w:type="dxa"/>
            <w:shd w:val="clear" w:color="auto" w:fill="auto"/>
          </w:tcPr>
          <w:p w:rsidR="001258F1" w:rsidRDefault="001258F1" w:rsidP="00906EF2">
            <w:pPr>
              <w:jc w:val="center"/>
            </w:pPr>
            <w:r w:rsidRPr="00906EF2"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rPr>
                <w:rFonts w:cs="Arial"/>
                <w:sz w:val="20"/>
              </w:rPr>
            </w:pPr>
            <w:r w:rsidRPr="00A371BD">
              <w:rPr>
                <w:rFonts w:cs="Arial"/>
                <w:sz w:val="20"/>
              </w:rPr>
              <w:t>Pneumonia Virus of Mice (PVM)</w:t>
            </w: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820F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Sendai Virus (</w:t>
            </w:r>
            <w:r w:rsidRPr="001258F1">
              <w:rPr>
                <w:rFonts w:cs="Arial"/>
                <w:sz w:val="20"/>
              </w:rPr>
              <w:t>SEN)</w:t>
            </w:r>
          </w:p>
        </w:tc>
        <w:tc>
          <w:tcPr>
            <w:tcW w:w="1092" w:type="dxa"/>
            <w:shd w:val="clear" w:color="auto" w:fill="auto"/>
          </w:tcPr>
          <w:p w:rsidR="001258F1" w:rsidRDefault="001258F1" w:rsidP="00906EF2">
            <w:pPr>
              <w:jc w:val="center"/>
            </w:pPr>
            <w:r w:rsidRPr="00906EF2"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906EF2">
            <w:pPr>
              <w:rPr>
                <w:rFonts w:cs="Arial"/>
                <w:sz w:val="20"/>
              </w:rPr>
            </w:pPr>
            <w:r w:rsidRPr="001258F1">
              <w:rPr>
                <w:rFonts w:cs="Arial"/>
                <w:color w:val="333333"/>
                <w:sz w:val="20"/>
              </w:rPr>
              <w:t xml:space="preserve">Mycoplasma </w:t>
            </w:r>
            <w:proofErr w:type="spellStart"/>
            <w:r w:rsidRPr="001258F1">
              <w:rPr>
                <w:rFonts w:cs="Arial"/>
                <w:color w:val="333333"/>
                <w:sz w:val="20"/>
              </w:rPr>
              <w:t>pulmonis</w:t>
            </w:r>
            <w:proofErr w:type="spellEnd"/>
            <w:r w:rsidRPr="001258F1">
              <w:rPr>
                <w:rFonts w:cs="Arial"/>
                <w:color w:val="333333"/>
                <w:sz w:val="20"/>
              </w:rPr>
              <w:t xml:space="preserve">  </w:t>
            </w:r>
          </w:p>
        </w:tc>
        <w:tc>
          <w:tcPr>
            <w:tcW w:w="1092" w:type="dxa"/>
            <w:shd w:val="clear" w:color="auto" w:fill="auto"/>
          </w:tcPr>
          <w:p w:rsidR="001258F1" w:rsidRDefault="001258F1" w:rsidP="00906EF2">
            <w:pPr>
              <w:jc w:val="center"/>
            </w:pPr>
            <w:r w:rsidRPr="00906EF2">
              <w:rPr>
                <w:sz w:val="20"/>
              </w:rPr>
              <w:t>MFI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820F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Fur Mites</w:t>
            </w:r>
            <w:r w:rsidRPr="00906EF2"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Myocoptes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Radfordia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Myobia</w:t>
            </w:r>
            <w:proofErr w:type="spellEnd"/>
            <w:r w:rsidRPr="00906EF2">
              <w:rPr>
                <w:rFonts w:cs="Arial"/>
                <w:sz w:val="20"/>
              </w:rPr>
              <w:t>)</w:t>
            </w: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PCR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  <w:tr w:rsidR="001258F1" w:rsidRPr="00906EF2" w:rsidTr="001F2630">
        <w:tc>
          <w:tcPr>
            <w:tcW w:w="5238" w:type="dxa"/>
            <w:shd w:val="clear" w:color="auto" w:fill="auto"/>
          </w:tcPr>
          <w:p w:rsidR="001258F1" w:rsidRPr="00906EF2" w:rsidRDefault="001258F1" w:rsidP="00820F5D">
            <w:pPr>
              <w:rPr>
                <w:rFonts w:cs="Arial"/>
                <w:sz w:val="20"/>
              </w:rPr>
            </w:pPr>
            <w:r w:rsidRPr="00906EF2">
              <w:rPr>
                <w:rFonts w:cs="Arial"/>
                <w:sz w:val="20"/>
              </w:rPr>
              <w:t>Pinworms</w:t>
            </w:r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Aspiculuris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tetraptera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Syphacia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muris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1092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PCR</w:t>
            </w:r>
          </w:p>
        </w:tc>
        <w:tc>
          <w:tcPr>
            <w:tcW w:w="115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1258F1" w:rsidRPr="00906EF2" w:rsidRDefault="001258F1" w:rsidP="00906EF2">
            <w:pPr>
              <w:jc w:val="center"/>
              <w:rPr>
                <w:sz w:val="20"/>
              </w:rPr>
            </w:pPr>
          </w:p>
        </w:tc>
      </w:tr>
    </w:tbl>
    <w:p w:rsidR="005657AA" w:rsidRPr="001F2630" w:rsidRDefault="00C3234C" w:rsidP="00CD5535">
      <w:pPr>
        <w:rPr>
          <w:sz w:val="20"/>
        </w:rPr>
      </w:pPr>
      <w:r w:rsidRPr="001F2630">
        <w:rPr>
          <w:sz w:val="20"/>
        </w:rPr>
        <w:t xml:space="preserve"> </w:t>
      </w:r>
      <w:r w:rsidR="00CD5535" w:rsidRPr="001F2630">
        <w:rPr>
          <w:sz w:val="20"/>
        </w:rPr>
        <w:t>MFI=</w:t>
      </w:r>
      <w:r w:rsidR="00CD5535" w:rsidRPr="001F2630">
        <w:rPr>
          <w:rFonts w:cs="Arial"/>
          <w:color w:val="333333"/>
          <w:sz w:val="20"/>
        </w:rPr>
        <w:t xml:space="preserve">Multiplex Fluorescent Immunoassay; </w:t>
      </w:r>
      <w:r w:rsidR="001A0816" w:rsidRPr="001F2630">
        <w:rPr>
          <w:rFonts w:cs="Arial"/>
          <w:color w:val="333333"/>
          <w:sz w:val="20"/>
        </w:rPr>
        <w:t>Polymerase Chain Reaction=PCR; NT=not tested;</w:t>
      </w:r>
      <w:r w:rsidR="00CD5535" w:rsidRPr="001F2630">
        <w:rPr>
          <w:sz w:val="20"/>
        </w:rPr>
        <w:t xml:space="preserve"> </w:t>
      </w:r>
      <w:r w:rsidR="00B30F11" w:rsidRPr="001F2630">
        <w:rPr>
          <w:sz w:val="20"/>
        </w:rPr>
        <w:t>*=</w:t>
      </w:r>
      <w:r w:rsidR="00CD5535" w:rsidRPr="001F2630">
        <w:rPr>
          <w:sz w:val="20"/>
        </w:rPr>
        <w:t>E</w:t>
      </w:r>
      <w:r w:rsidR="00B30F11" w:rsidRPr="001F2630">
        <w:rPr>
          <w:sz w:val="20"/>
        </w:rPr>
        <w:t xml:space="preserve">quivocal    </w:t>
      </w:r>
    </w:p>
    <w:p w:rsidR="00425DD3" w:rsidRDefault="00425DD3">
      <w:pPr>
        <w:pStyle w:val="BodyText"/>
        <w:tabs>
          <w:tab w:val="left" w:pos="369"/>
          <w:tab w:val="left" w:pos="720"/>
          <w:tab w:val="left" w:pos="1108"/>
          <w:tab w:val="left" w:pos="1440"/>
          <w:tab w:val="left" w:pos="1848"/>
          <w:tab w:val="left" w:pos="2217"/>
          <w:tab w:val="left" w:pos="2587"/>
          <w:tab w:val="right" w:leader="dot" w:pos="9360"/>
        </w:tabs>
        <w:rPr>
          <w:sz w:val="10"/>
          <w:szCs w:val="10"/>
        </w:rPr>
      </w:pPr>
    </w:p>
    <w:p w:rsidR="001F2630" w:rsidRPr="00911A41" w:rsidRDefault="001F2630">
      <w:pPr>
        <w:pStyle w:val="BodyText"/>
        <w:tabs>
          <w:tab w:val="left" w:pos="369"/>
          <w:tab w:val="left" w:pos="720"/>
          <w:tab w:val="left" w:pos="1108"/>
          <w:tab w:val="left" w:pos="1440"/>
          <w:tab w:val="left" w:pos="1848"/>
          <w:tab w:val="left" w:pos="2217"/>
          <w:tab w:val="left" w:pos="2587"/>
          <w:tab w:val="right" w:leader="dot" w:pos="9360"/>
        </w:tabs>
        <w:rPr>
          <w:sz w:val="10"/>
          <w:szCs w:val="10"/>
        </w:rPr>
      </w:pPr>
    </w:p>
    <w:p w:rsidR="00605C4C" w:rsidRPr="00CD5535" w:rsidRDefault="00425DD3">
      <w:pPr>
        <w:pStyle w:val="BodyText"/>
        <w:rPr>
          <w:rFonts w:cs="Arial"/>
          <w:sz w:val="20"/>
        </w:rPr>
      </w:pPr>
      <w:r w:rsidRPr="00CD5535">
        <w:rPr>
          <w:sz w:val="20"/>
        </w:rPr>
        <w:t xml:space="preserve">Individual positive serology results are investigated by testing additional </w:t>
      </w:r>
      <w:r w:rsidR="00394865">
        <w:rPr>
          <w:sz w:val="20"/>
        </w:rPr>
        <w:t>rats</w:t>
      </w:r>
      <w:r w:rsidR="00E14435">
        <w:rPr>
          <w:sz w:val="20"/>
        </w:rPr>
        <w:t xml:space="preserve"> </w:t>
      </w:r>
      <w:r w:rsidRPr="00CD5535">
        <w:rPr>
          <w:sz w:val="20"/>
        </w:rPr>
        <w:t xml:space="preserve">from the same rack, and guided by an assumed 50% infectivity rate and 95% confidence interval, so approximately 5 colony </w:t>
      </w:r>
      <w:r w:rsidR="00394865">
        <w:rPr>
          <w:sz w:val="20"/>
        </w:rPr>
        <w:t>rats</w:t>
      </w:r>
      <w:r w:rsidR="00394865" w:rsidRPr="00CD5535">
        <w:rPr>
          <w:sz w:val="20"/>
        </w:rPr>
        <w:t xml:space="preserve"> </w:t>
      </w:r>
      <w:r w:rsidRPr="00CD5535">
        <w:rPr>
          <w:sz w:val="20"/>
        </w:rPr>
        <w:t xml:space="preserve">are tested for every 100 </w:t>
      </w:r>
      <w:r w:rsidR="00394865">
        <w:rPr>
          <w:sz w:val="20"/>
        </w:rPr>
        <w:t>rats</w:t>
      </w:r>
      <w:r w:rsidR="00394865" w:rsidRPr="00CD5535">
        <w:rPr>
          <w:sz w:val="20"/>
        </w:rPr>
        <w:t xml:space="preserve"> </w:t>
      </w:r>
      <w:r w:rsidRPr="00CD5535">
        <w:rPr>
          <w:sz w:val="20"/>
        </w:rPr>
        <w:t xml:space="preserve">housed.  </w:t>
      </w:r>
      <w:r w:rsidR="00605C4C" w:rsidRPr="00CD5535">
        <w:rPr>
          <w:rFonts w:cs="Arial"/>
          <w:sz w:val="20"/>
        </w:rPr>
        <w:t xml:space="preserve">Follow-up evaluations of all positive findings indicative of infectious agent exposure </w:t>
      </w:r>
      <w:proofErr w:type="gramStart"/>
      <w:r w:rsidR="00605C4C" w:rsidRPr="00CD5535">
        <w:rPr>
          <w:rFonts w:cs="Arial"/>
          <w:sz w:val="20"/>
        </w:rPr>
        <w:t>are routinely performed</w:t>
      </w:r>
      <w:proofErr w:type="gramEnd"/>
      <w:r w:rsidR="00605C4C" w:rsidRPr="00CD5535">
        <w:rPr>
          <w:rFonts w:cs="Arial"/>
          <w:sz w:val="20"/>
        </w:rPr>
        <w:t>.  A practice of</w:t>
      </w:r>
      <w:r w:rsidRPr="00CD5535">
        <w:rPr>
          <w:rFonts w:cs="Arial"/>
          <w:sz w:val="20"/>
        </w:rPr>
        <w:t xml:space="preserve"> identifying and</w:t>
      </w:r>
      <w:r w:rsidR="00605C4C" w:rsidRPr="00CD5535">
        <w:rPr>
          <w:rFonts w:cs="Arial"/>
          <w:sz w:val="20"/>
        </w:rPr>
        <w:t xml:space="preserve"> testing</w:t>
      </w:r>
      <w:r w:rsidRPr="00CD5535">
        <w:rPr>
          <w:rFonts w:cs="Arial"/>
          <w:sz w:val="20"/>
        </w:rPr>
        <w:t xml:space="preserve"> colony representatives</w:t>
      </w:r>
      <w:r w:rsidR="00605C4C" w:rsidRPr="00CD5535">
        <w:rPr>
          <w:rFonts w:cs="Arial"/>
          <w:sz w:val="20"/>
        </w:rPr>
        <w:t>, culling or depopulating, and decontaminating</w:t>
      </w:r>
      <w:r w:rsidR="00CD5535" w:rsidRPr="00CD5535">
        <w:rPr>
          <w:rFonts w:cs="Arial"/>
          <w:sz w:val="20"/>
        </w:rPr>
        <w:t xml:space="preserve"> environments</w:t>
      </w:r>
      <w:r w:rsidR="00605C4C" w:rsidRPr="00CD5535">
        <w:rPr>
          <w:rFonts w:cs="Arial"/>
          <w:sz w:val="20"/>
        </w:rPr>
        <w:t xml:space="preserve"> is employed until no evidence of exposure to the suspect infectious agent is detected.</w:t>
      </w:r>
    </w:p>
    <w:p w:rsidR="00605C4C" w:rsidRDefault="00605C4C">
      <w:pPr>
        <w:rPr>
          <w:rFonts w:cs="Arial"/>
          <w:sz w:val="20"/>
        </w:rPr>
      </w:pPr>
    </w:p>
    <w:p w:rsidR="00605C4C" w:rsidRPr="0025438E" w:rsidRDefault="00605C4C">
      <w:pPr>
        <w:pStyle w:val="BodyTextIndent"/>
        <w:rPr>
          <w:rFonts w:cs="Arial"/>
          <w:sz w:val="20"/>
        </w:rPr>
      </w:pPr>
      <w:r w:rsidRPr="0025438E">
        <w:rPr>
          <w:rFonts w:cs="Arial"/>
          <w:sz w:val="20"/>
        </w:rPr>
        <w:t>A copy of the most recent serology report for the facility is available upon request.</w:t>
      </w:r>
    </w:p>
    <w:p w:rsidR="00605C4C" w:rsidRDefault="00605C4C">
      <w:pPr>
        <w:pStyle w:val="BodyTextIndent"/>
        <w:rPr>
          <w:rFonts w:cs="Arial"/>
          <w:sz w:val="20"/>
        </w:rPr>
      </w:pPr>
    </w:p>
    <w:p w:rsidR="00C3234C" w:rsidRPr="0025438E" w:rsidRDefault="00C3234C">
      <w:pPr>
        <w:pStyle w:val="BodyTextIndent"/>
        <w:rPr>
          <w:rFonts w:cs="Arial"/>
          <w:sz w:val="20"/>
        </w:rPr>
      </w:pPr>
    </w:p>
    <w:p w:rsidR="00C3234C" w:rsidRPr="001F2630" w:rsidRDefault="00605C4C">
      <w:pPr>
        <w:pStyle w:val="BodyTextIndent"/>
        <w:rPr>
          <w:rFonts w:cs="Arial"/>
          <w:b/>
          <w:sz w:val="22"/>
          <w:szCs w:val="22"/>
        </w:rPr>
      </w:pPr>
      <w:r w:rsidRPr="001F2630">
        <w:rPr>
          <w:rFonts w:cs="Arial"/>
          <w:b/>
          <w:sz w:val="22"/>
          <w:szCs w:val="22"/>
        </w:rPr>
        <w:t xml:space="preserve">PART 7: SIGNATURE VERIFYING </w:t>
      </w:r>
      <w:r w:rsidR="00B016CB" w:rsidRPr="001F2630">
        <w:rPr>
          <w:rFonts w:cs="Arial"/>
          <w:b/>
          <w:sz w:val="22"/>
          <w:szCs w:val="22"/>
        </w:rPr>
        <w:t>ANIMAL HEALTH INFORMATION</w:t>
      </w:r>
    </w:p>
    <w:p w:rsidR="00605C4C" w:rsidRPr="001F2630" w:rsidRDefault="00605C4C">
      <w:pPr>
        <w:pStyle w:val="BodyTextIndent"/>
        <w:rPr>
          <w:rFonts w:cs="Arial"/>
          <w:b/>
          <w:sz w:val="22"/>
          <w:szCs w:val="22"/>
        </w:rPr>
      </w:pPr>
      <w:r w:rsidRPr="001F2630">
        <w:rPr>
          <w:rFonts w:cs="Arial"/>
          <w:b/>
          <w:sz w:val="22"/>
          <w:szCs w:val="22"/>
        </w:rPr>
        <w:t xml:space="preserve"> </w:t>
      </w:r>
    </w:p>
    <w:p w:rsidR="00605C4C" w:rsidRPr="0025438E" w:rsidRDefault="00605C4C">
      <w:pPr>
        <w:pStyle w:val="BodyTextIndent"/>
        <w:rPr>
          <w:rFonts w:cs="Arial"/>
          <w:sz w:val="20"/>
        </w:rPr>
      </w:pPr>
    </w:p>
    <w:p w:rsidR="00605C4C" w:rsidRPr="0025438E" w:rsidRDefault="00605C4C">
      <w:pPr>
        <w:pStyle w:val="BodyTextIndent"/>
        <w:ind w:left="0" w:firstLine="0"/>
        <w:rPr>
          <w:rFonts w:cs="Arial"/>
          <w:sz w:val="20"/>
        </w:rPr>
      </w:pPr>
      <w:r w:rsidRPr="0025438E">
        <w:rPr>
          <w:rFonts w:cs="Arial"/>
          <w:sz w:val="20"/>
          <w:u w:val="single"/>
        </w:rPr>
        <w:tab/>
      </w:r>
      <w:r w:rsidRPr="0025438E">
        <w:rPr>
          <w:rFonts w:cs="Arial"/>
          <w:sz w:val="20"/>
          <w:u w:val="single"/>
        </w:rPr>
        <w:tab/>
      </w:r>
      <w:r w:rsidRPr="0025438E">
        <w:rPr>
          <w:rFonts w:cs="Arial"/>
          <w:sz w:val="20"/>
          <w:u w:val="single"/>
        </w:rPr>
        <w:tab/>
      </w:r>
      <w:r w:rsidRPr="0025438E">
        <w:rPr>
          <w:rFonts w:cs="Arial"/>
          <w:sz w:val="20"/>
          <w:u w:val="single"/>
        </w:rPr>
        <w:tab/>
      </w:r>
      <w:r w:rsidRPr="0025438E">
        <w:rPr>
          <w:rFonts w:cs="Arial"/>
          <w:sz w:val="20"/>
          <w:u w:val="single"/>
        </w:rPr>
        <w:tab/>
      </w:r>
      <w:r w:rsidRPr="0025438E">
        <w:rPr>
          <w:rFonts w:cs="Arial"/>
          <w:sz w:val="20"/>
          <w:u w:val="single"/>
        </w:rPr>
        <w:tab/>
      </w:r>
      <w:r w:rsidRPr="0025438E">
        <w:rPr>
          <w:rFonts w:cs="Arial"/>
          <w:sz w:val="20"/>
        </w:rPr>
        <w:softHyphen/>
      </w:r>
      <w:r w:rsidRPr="0025438E">
        <w:rPr>
          <w:rFonts w:cs="Arial"/>
          <w:sz w:val="20"/>
        </w:rPr>
        <w:softHyphen/>
      </w:r>
      <w:r w:rsidRPr="0025438E">
        <w:rPr>
          <w:rFonts w:cs="Arial"/>
          <w:sz w:val="20"/>
        </w:rPr>
        <w:softHyphen/>
      </w:r>
      <w:r w:rsidRPr="0025438E">
        <w:rPr>
          <w:rFonts w:cs="Arial"/>
          <w:sz w:val="20"/>
        </w:rPr>
        <w:softHyphen/>
      </w:r>
      <w:r w:rsidRPr="0025438E">
        <w:rPr>
          <w:rFonts w:cs="Arial"/>
          <w:sz w:val="20"/>
        </w:rPr>
        <w:softHyphen/>
      </w:r>
      <w:r w:rsidRPr="0025438E">
        <w:rPr>
          <w:rFonts w:cs="Arial"/>
          <w:sz w:val="20"/>
        </w:rPr>
        <w:softHyphen/>
      </w:r>
      <w:r w:rsidRPr="0025438E">
        <w:rPr>
          <w:rFonts w:cs="Arial"/>
          <w:sz w:val="20"/>
        </w:rPr>
        <w:tab/>
      </w:r>
      <w:r w:rsidRPr="0025438E">
        <w:rPr>
          <w:rFonts w:cs="Arial"/>
          <w:sz w:val="20"/>
        </w:rPr>
        <w:tab/>
      </w:r>
      <w:r w:rsidRPr="0025438E">
        <w:rPr>
          <w:rFonts w:cs="Arial"/>
          <w:sz w:val="20"/>
        </w:rPr>
        <w:tab/>
      </w:r>
      <w:r w:rsidRPr="0025438E">
        <w:rPr>
          <w:rFonts w:cs="Arial"/>
          <w:sz w:val="20"/>
        </w:rPr>
        <w:tab/>
      </w:r>
      <w:r w:rsidR="0025438E">
        <w:rPr>
          <w:rFonts w:cs="Arial"/>
          <w:sz w:val="20"/>
        </w:rPr>
        <w:t xml:space="preserve">          </w:t>
      </w:r>
      <w:r w:rsidRPr="0025438E">
        <w:rPr>
          <w:rFonts w:cs="Arial"/>
          <w:sz w:val="20"/>
        </w:rPr>
        <w:t xml:space="preserve">Date: </w:t>
      </w:r>
      <w:r w:rsidRPr="0025438E">
        <w:rPr>
          <w:rFonts w:cs="Arial"/>
          <w:sz w:val="20"/>
          <w:u w:val="single"/>
        </w:rPr>
        <w:tab/>
      </w:r>
      <w:r w:rsidRPr="0025438E">
        <w:rPr>
          <w:rFonts w:cs="Arial"/>
          <w:sz w:val="20"/>
          <w:u w:val="single"/>
        </w:rPr>
        <w:tab/>
      </w:r>
      <w:r w:rsidRPr="0025438E">
        <w:rPr>
          <w:rFonts w:cs="Arial"/>
          <w:sz w:val="20"/>
          <w:u w:val="single"/>
        </w:rPr>
        <w:tab/>
      </w:r>
      <w:r w:rsidR="0025438E">
        <w:rPr>
          <w:rFonts w:cs="Arial"/>
          <w:sz w:val="20"/>
          <w:u w:val="single"/>
        </w:rPr>
        <w:t>_____</w:t>
      </w:r>
    </w:p>
    <w:p w:rsidR="00605C4C" w:rsidRPr="0025438E" w:rsidRDefault="00B016CB">
      <w:pPr>
        <w:pStyle w:val="BodyTextIndent"/>
        <w:ind w:left="0" w:firstLine="0"/>
        <w:rPr>
          <w:rFonts w:cs="Arial"/>
          <w:sz w:val="20"/>
        </w:rPr>
      </w:pPr>
      <w:r w:rsidRPr="0025438E">
        <w:rPr>
          <w:rFonts w:cs="Arial"/>
          <w:sz w:val="20"/>
        </w:rPr>
        <w:t>Lloyd B. Graham, MPH, RQAP</w:t>
      </w:r>
      <w:r w:rsidR="0025438E">
        <w:rPr>
          <w:rFonts w:cs="Arial"/>
          <w:sz w:val="20"/>
        </w:rPr>
        <w:tab/>
      </w:r>
      <w:r w:rsidR="0025438E">
        <w:rPr>
          <w:rFonts w:cs="Arial"/>
          <w:sz w:val="20"/>
        </w:rPr>
        <w:tab/>
      </w:r>
      <w:r w:rsidR="0025438E">
        <w:rPr>
          <w:rFonts w:cs="Arial"/>
          <w:sz w:val="20"/>
        </w:rPr>
        <w:tab/>
      </w:r>
      <w:r w:rsidR="0025438E">
        <w:rPr>
          <w:rFonts w:cs="Arial"/>
          <w:sz w:val="20"/>
        </w:rPr>
        <w:tab/>
      </w:r>
      <w:r w:rsidR="0025438E">
        <w:rPr>
          <w:rFonts w:cs="Arial"/>
          <w:sz w:val="20"/>
        </w:rPr>
        <w:tab/>
      </w:r>
      <w:r w:rsidR="0025438E">
        <w:rPr>
          <w:rFonts w:cs="Arial"/>
          <w:sz w:val="20"/>
        </w:rPr>
        <w:tab/>
      </w:r>
      <w:r w:rsidR="0025438E">
        <w:rPr>
          <w:rFonts w:cs="Arial"/>
          <w:sz w:val="20"/>
        </w:rPr>
        <w:tab/>
        <w:t xml:space="preserve">          </w:t>
      </w:r>
      <w:r w:rsidR="00605C4C" w:rsidRPr="0025438E">
        <w:rPr>
          <w:rFonts w:cs="Arial"/>
          <w:sz w:val="20"/>
        </w:rPr>
        <w:t>Telephone: (813) 97</w:t>
      </w:r>
      <w:r w:rsidRPr="0025438E">
        <w:rPr>
          <w:rFonts w:cs="Arial"/>
          <w:sz w:val="20"/>
        </w:rPr>
        <w:t>4</w:t>
      </w:r>
      <w:r w:rsidR="00605C4C" w:rsidRPr="0025438E">
        <w:rPr>
          <w:rFonts w:cs="Arial"/>
          <w:sz w:val="20"/>
        </w:rPr>
        <w:t>-</w:t>
      </w:r>
      <w:r w:rsidRPr="0025438E">
        <w:rPr>
          <w:rFonts w:cs="Arial"/>
          <w:sz w:val="20"/>
        </w:rPr>
        <w:t>9876</w:t>
      </w:r>
    </w:p>
    <w:p w:rsidR="00605C4C" w:rsidRPr="006D4B16" w:rsidRDefault="0043321E">
      <w:pPr>
        <w:pStyle w:val="BodyTextIndent"/>
        <w:ind w:left="0" w:firstLine="0"/>
        <w:rPr>
          <w:rFonts w:cs="Arial"/>
          <w:sz w:val="18"/>
          <w:szCs w:val="18"/>
        </w:rPr>
      </w:pPr>
      <w:r w:rsidRPr="0025438E">
        <w:rPr>
          <w:rFonts w:cs="Arial"/>
          <w:sz w:val="20"/>
        </w:rPr>
        <w:t>Coordinator, Rodent Health Surveillance Program</w:t>
      </w:r>
      <w:r w:rsidR="00605C4C" w:rsidRPr="0025438E">
        <w:rPr>
          <w:rFonts w:cs="Arial"/>
          <w:sz w:val="20"/>
        </w:rPr>
        <w:tab/>
      </w:r>
      <w:r w:rsidR="00605C4C" w:rsidRPr="0025438E">
        <w:rPr>
          <w:rFonts w:cs="Arial"/>
          <w:sz w:val="20"/>
        </w:rPr>
        <w:tab/>
      </w:r>
      <w:r w:rsidR="00605C4C" w:rsidRPr="0025438E">
        <w:rPr>
          <w:rFonts w:cs="Arial"/>
          <w:sz w:val="20"/>
        </w:rPr>
        <w:tab/>
      </w:r>
      <w:r w:rsidR="00605C4C" w:rsidRPr="0025438E">
        <w:rPr>
          <w:rFonts w:cs="Arial"/>
          <w:sz w:val="20"/>
        </w:rPr>
        <w:tab/>
      </w:r>
      <w:r w:rsidR="0025438E">
        <w:rPr>
          <w:rFonts w:cs="Arial"/>
          <w:sz w:val="20"/>
        </w:rPr>
        <w:t xml:space="preserve">          </w:t>
      </w:r>
      <w:r w:rsidR="00605C4C" w:rsidRPr="0025438E">
        <w:rPr>
          <w:rFonts w:cs="Arial"/>
          <w:sz w:val="20"/>
        </w:rPr>
        <w:t>Email:</w:t>
      </w:r>
      <w:r w:rsidR="00B016CB" w:rsidRPr="0025438E">
        <w:rPr>
          <w:rFonts w:cs="Arial"/>
          <w:sz w:val="20"/>
        </w:rPr>
        <w:t xml:space="preserve"> </w:t>
      </w:r>
      <w:hyperlink r:id="rId7" w:history="1">
        <w:r w:rsidR="00B016CB" w:rsidRPr="0025438E">
          <w:rPr>
            <w:rStyle w:val="Hyperlink"/>
            <w:rFonts w:cs="Arial"/>
            <w:sz w:val="20"/>
          </w:rPr>
          <w:t>lgraham@research.usf.edu</w:t>
        </w:r>
      </w:hyperlink>
      <w:r w:rsidR="00B016CB" w:rsidRPr="006D4B16">
        <w:rPr>
          <w:rFonts w:cs="Arial"/>
          <w:sz w:val="18"/>
          <w:szCs w:val="18"/>
        </w:rPr>
        <w:t xml:space="preserve"> </w:t>
      </w:r>
      <w:r w:rsidR="00605C4C" w:rsidRPr="006D4B16">
        <w:rPr>
          <w:rFonts w:cs="Arial"/>
          <w:sz w:val="18"/>
          <w:szCs w:val="18"/>
        </w:rPr>
        <w:t xml:space="preserve">  </w:t>
      </w:r>
    </w:p>
    <w:sectPr w:rsidR="00605C4C" w:rsidRPr="006D4B16" w:rsidSect="00AA00EE">
      <w:footerReference w:type="default" r:id="rId8"/>
      <w:type w:val="continuous"/>
      <w:pgSz w:w="12240" w:h="15840"/>
      <w:pgMar w:top="720" w:right="720" w:bottom="720" w:left="720" w:header="432" w:footer="252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D5" w:rsidRDefault="006F3CD5">
      <w:r>
        <w:separator/>
      </w:r>
    </w:p>
  </w:endnote>
  <w:endnote w:type="continuationSeparator" w:id="0">
    <w:p w:rsidR="006F3CD5" w:rsidRDefault="006F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C" w:rsidRDefault="00605C4C">
    <w:pPr>
      <w:pStyle w:val="Footer"/>
      <w:rPr>
        <w:sz w:val="16"/>
      </w:rPr>
    </w:pPr>
    <w:r>
      <w:rPr>
        <w:sz w:val="16"/>
      </w:rPr>
      <w:t>CMDC #</w:t>
    </w:r>
    <w:r w:rsidR="00394865">
      <w:rPr>
        <w:sz w:val="16"/>
      </w:rPr>
      <w:t>160</w:t>
    </w:r>
    <w:r w:rsidR="00BD5897">
      <w:rPr>
        <w:sz w:val="16"/>
      </w:rPr>
      <w:t>.</w:t>
    </w:r>
    <w:r w:rsidR="00CF2CB6">
      <w:rPr>
        <w:sz w:val="16"/>
      </w:rPr>
      <w:t>1</w:t>
    </w:r>
  </w:p>
  <w:p w:rsidR="00605C4C" w:rsidRDefault="00605C4C">
    <w:pPr>
      <w:pStyle w:val="Footer"/>
      <w:rPr>
        <w:sz w:val="16"/>
      </w:rPr>
    </w:pPr>
    <w:r>
      <w:rPr>
        <w:sz w:val="16"/>
      </w:rPr>
      <w:t>Effective</w:t>
    </w:r>
    <w:r w:rsidR="002F36B8">
      <w:rPr>
        <w:sz w:val="16"/>
      </w:rPr>
      <w:t xml:space="preserve"> </w:t>
    </w:r>
    <w:r w:rsidR="00E10071">
      <w:rPr>
        <w:sz w:val="16"/>
      </w:rPr>
      <w:t>8</w:t>
    </w:r>
    <w:r w:rsidR="00BD19BF">
      <w:rPr>
        <w:sz w:val="16"/>
      </w:rPr>
      <w:t>/</w:t>
    </w:r>
    <w:r w:rsidR="00BD5897">
      <w:rPr>
        <w:sz w:val="16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D5" w:rsidRDefault="006F3CD5">
      <w:r>
        <w:separator/>
      </w:r>
    </w:p>
  </w:footnote>
  <w:footnote w:type="continuationSeparator" w:id="0">
    <w:p w:rsidR="006F3CD5" w:rsidRDefault="006F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2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A3"/>
    <w:rsid w:val="000249D2"/>
    <w:rsid w:val="000719E7"/>
    <w:rsid w:val="0007461D"/>
    <w:rsid w:val="00085632"/>
    <w:rsid w:val="000876D3"/>
    <w:rsid w:val="000904E2"/>
    <w:rsid w:val="00092C50"/>
    <w:rsid w:val="000A4C2A"/>
    <w:rsid w:val="000A52F3"/>
    <w:rsid w:val="000A6403"/>
    <w:rsid w:val="000C32AC"/>
    <w:rsid w:val="000C6ADC"/>
    <w:rsid w:val="000D647D"/>
    <w:rsid w:val="000F66C5"/>
    <w:rsid w:val="001046F9"/>
    <w:rsid w:val="001258F1"/>
    <w:rsid w:val="001308F8"/>
    <w:rsid w:val="00135381"/>
    <w:rsid w:val="00136884"/>
    <w:rsid w:val="001726B0"/>
    <w:rsid w:val="001909AE"/>
    <w:rsid w:val="00196A00"/>
    <w:rsid w:val="001A0816"/>
    <w:rsid w:val="001B03C8"/>
    <w:rsid w:val="001D1E7B"/>
    <w:rsid w:val="001E00F2"/>
    <w:rsid w:val="001E0F31"/>
    <w:rsid w:val="001E263C"/>
    <w:rsid w:val="001F2630"/>
    <w:rsid w:val="002029A2"/>
    <w:rsid w:val="0022215D"/>
    <w:rsid w:val="00224261"/>
    <w:rsid w:val="00231845"/>
    <w:rsid w:val="002447E1"/>
    <w:rsid w:val="0025438E"/>
    <w:rsid w:val="0026373D"/>
    <w:rsid w:val="002657B6"/>
    <w:rsid w:val="002701AB"/>
    <w:rsid w:val="00273289"/>
    <w:rsid w:val="0029273C"/>
    <w:rsid w:val="00296522"/>
    <w:rsid w:val="002B5F5E"/>
    <w:rsid w:val="002D2A2E"/>
    <w:rsid w:val="002D7C16"/>
    <w:rsid w:val="002E1128"/>
    <w:rsid w:val="002E77EA"/>
    <w:rsid w:val="002F36B8"/>
    <w:rsid w:val="003060A1"/>
    <w:rsid w:val="00306EB8"/>
    <w:rsid w:val="00312054"/>
    <w:rsid w:val="00314233"/>
    <w:rsid w:val="00350130"/>
    <w:rsid w:val="003518FF"/>
    <w:rsid w:val="00377AF0"/>
    <w:rsid w:val="0038093C"/>
    <w:rsid w:val="003854F6"/>
    <w:rsid w:val="00394865"/>
    <w:rsid w:val="003B550A"/>
    <w:rsid w:val="003E5984"/>
    <w:rsid w:val="003E6FD4"/>
    <w:rsid w:val="003F0201"/>
    <w:rsid w:val="003F0D20"/>
    <w:rsid w:val="00405C75"/>
    <w:rsid w:val="00425DD3"/>
    <w:rsid w:val="0043321E"/>
    <w:rsid w:val="00436798"/>
    <w:rsid w:val="00446AE4"/>
    <w:rsid w:val="00465505"/>
    <w:rsid w:val="00467FED"/>
    <w:rsid w:val="00493A9C"/>
    <w:rsid w:val="00496D1C"/>
    <w:rsid w:val="004A3389"/>
    <w:rsid w:val="004D2334"/>
    <w:rsid w:val="00511F3B"/>
    <w:rsid w:val="00540072"/>
    <w:rsid w:val="00563A62"/>
    <w:rsid w:val="005657AA"/>
    <w:rsid w:val="0057586E"/>
    <w:rsid w:val="005805BD"/>
    <w:rsid w:val="00581EC9"/>
    <w:rsid w:val="0059002F"/>
    <w:rsid w:val="005B7F5B"/>
    <w:rsid w:val="005C0EBD"/>
    <w:rsid w:val="005C757E"/>
    <w:rsid w:val="005D3E1C"/>
    <w:rsid w:val="005D73B8"/>
    <w:rsid w:val="005E193A"/>
    <w:rsid w:val="005E2505"/>
    <w:rsid w:val="005F4729"/>
    <w:rsid w:val="005F7F72"/>
    <w:rsid w:val="00605C4C"/>
    <w:rsid w:val="00606A77"/>
    <w:rsid w:val="00606B88"/>
    <w:rsid w:val="00613196"/>
    <w:rsid w:val="0063406A"/>
    <w:rsid w:val="00635CC5"/>
    <w:rsid w:val="00637058"/>
    <w:rsid w:val="0063781F"/>
    <w:rsid w:val="00651D21"/>
    <w:rsid w:val="00667276"/>
    <w:rsid w:val="00670623"/>
    <w:rsid w:val="00682F4D"/>
    <w:rsid w:val="0068739D"/>
    <w:rsid w:val="00693E3E"/>
    <w:rsid w:val="006968B2"/>
    <w:rsid w:val="006A1BA1"/>
    <w:rsid w:val="006A3116"/>
    <w:rsid w:val="006A6B30"/>
    <w:rsid w:val="006B49BE"/>
    <w:rsid w:val="006D0E55"/>
    <w:rsid w:val="006D4B16"/>
    <w:rsid w:val="006E7AF0"/>
    <w:rsid w:val="006E7F78"/>
    <w:rsid w:val="006F19EB"/>
    <w:rsid w:val="006F3CD5"/>
    <w:rsid w:val="007258BD"/>
    <w:rsid w:val="0073125D"/>
    <w:rsid w:val="00731406"/>
    <w:rsid w:val="00735673"/>
    <w:rsid w:val="00736B2D"/>
    <w:rsid w:val="00756EF5"/>
    <w:rsid w:val="0076256C"/>
    <w:rsid w:val="007642A3"/>
    <w:rsid w:val="00786E43"/>
    <w:rsid w:val="007A1D8A"/>
    <w:rsid w:val="007A457F"/>
    <w:rsid w:val="007D5023"/>
    <w:rsid w:val="007E66C9"/>
    <w:rsid w:val="00820F5D"/>
    <w:rsid w:val="00823557"/>
    <w:rsid w:val="008368A8"/>
    <w:rsid w:val="008537C3"/>
    <w:rsid w:val="008601D0"/>
    <w:rsid w:val="00870B54"/>
    <w:rsid w:val="008732F3"/>
    <w:rsid w:val="0088743A"/>
    <w:rsid w:val="008A2545"/>
    <w:rsid w:val="008D14C2"/>
    <w:rsid w:val="008D5B00"/>
    <w:rsid w:val="008D632E"/>
    <w:rsid w:val="008E2A81"/>
    <w:rsid w:val="00906EF2"/>
    <w:rsid w:val="00911A41"/>
    <w:rsid w:val="00912801"/>
    <w:rsid w:val="00923336"/>
    <w:rsid w:val="00927B66"/>
    <w:rsid w:val="009309E9"/>
    <w:rsid w:val="00937A95"/>
    <w:rsid w:val="009517DB"/>
    <w:rsid w:val="00953EB1"/>
    <w:rsid w:val="0096599F"/>
    <w:rsid w:val="00974ACB"/>
    <w:rsid w:val="00995C7B"/>
    <w:rsid w:val="009A2302"/>
    <w:rsid w:val="009B40D7"/>
    <w:rsid w:val="009D186A"/>
    <w:rsid w:val="009D6988"/>
    <w:rsid w:val="009D6E7C"/>
    <w:rsid w:val="00A1407D"/>
    <w:rsid w:val="00A363D8"/>
    <w:rsid w:val="00A371BD"/>
    <w:rsid w:val="00A438FC"/>
    <w:rsid w:val="00A467C2"/>
    <w:rsid w:val="00A475D6"/>
    <w:rsid w:val="00A6016D"/>
    <w:rsid w:val="00A65D57"/>
    <w:rsid w:val="00A75508"/>
    <w:rsid w:val="00A87CFF"/>
    <w:rsid w:val="00AA00EE"/>
    <w:rsid w:val="00AA628F"/>
    <w:rsid w:val="00AB40FC"/>
    <w:rsid w:val="00AC1D6C"/>
    <w:rsid w:val="00AD1B10"/>
    <w:rsid w:val="00AD29E3"/>
    <w:rsid w:val="00AD42F6"/>
    <w:rsid w:val="00AD490B"/>
    <w:rsid w:val="00AE4B8E"/>
    <w:rsid w:val="00AE7DC6"/>
    <w:rsid w:val="00AF7118"/>
    <w:rsid w:val="00B016CB"/>
    <w:rsid w:val="00B17452"/>
    <w:rsid w:val="00B17AF9"/>
    <w:rsid w:val="00B2489C"/>
    <w:rsid w:val="00B30F11"/>
    <w:rsid w:val="00B36AF8"/>
    <w:rsid w:val="00B47955"/>
    <w:rsid w:val="00B54CEF"/>
    <w:rsid w:val="00B77A09"/>
    <w:rsid w:val="00B84955"/>
    <w:rsid w:val="00BA759B"/>
    <w:rsid w:val="00BB77CF"/>
    <w:rsid w:val="00BD19BF"/>
    <w:rsid w:val="00BD5897"/>
    <w:rsid w:val="00BE79B2"/>
    <w:rsid w:val="00C0478B"/>
    <w:rsid w:val="00C3234C"/>
    <w:rsid w:val="00C34849"/>
    <w:rsid w:val="00C37192"/>
    <w:rsid w:val="00C47083"/>
    <w:rsid w:val="00C52853"/>
    <w:rsid w:val="00C52872"/>
    <w:rsid w:val="00C62C4C"/>
    <w:rsid w:val="00C65038"/>
    <w:rsid w:val="00C84FF3"/>
    <w:rsid w:val="00C93AA2"/>
    <w:rsid w:val="00CB18CD"/>
    <w:rsid w:val="00CC7B7A"/>
    <w:rsid w:val="00CD5535"/>
    <w:rsid w:val="00CF2CB6"/>
    <w:rsid w:val="00D00090"/>
    <w:rsid w:val="00D21EF3"/>
    <w:rsid w:val="00D25F6E"/>
    <w:rsid w:val="00D3371E"/>
    <w:rsid w:val="00D36DB4"/>
    <w:rsid w:val="00D40D35"/>
    <w:rsid w:val="00D47EE7"/>
    <w:rsid w:val="00D54622"/>
    <w:rsid w:val="00D63AD1"/>
    <w:rsid w:val="00D677BB"/>
    <w:rsid w:val="00D7243C"/>
    <w:rsid w:val="00D95FE8"/>
    <w:rsid w:val="00DA4647"/>
    <w:rsid w:val="00DB36F1"/>
    <w:rsid w:val="00DE67C4"/>
    <w:rsid w:val="00E04873"/>
    <w:rsid w:val="00E10071"/>
    <w:rsid w:val="00E14435"/>
    <w:rsid w:val="00E26189"/>
    <w:rsid w:val="00E562FD"/>
    <w:rsid w:val="00E96F8F"/>
    <w:rsid w:val="00ED5304"/>
    <w:rsid w:val="00EE0EF4"/>
    <w:rsid w:val="00EF0317"/>
    <w:rsid w:val="00EF0F2B"/>
    <w:rsid w:val="00F05559"/>
    <w:rsid w:val="00F12BE8"/>
    <w:rsid w:val="00F12F71"/>
    <w:rsid w:val="00F13196"/>
    <w:rsid w:val="00F17E0E"/>
    <w:rsid w:val="00F2478E"/>
    <w:rsid w:val="00F36BD9"/>
    <w:rsid w:val="00F45C86"/>
    <w:rsid w:val="00F82EE0"/>
    <w:rsid w:val="00FA165F"/>
    <w:rsid w:val="00FD4DF6"/>
    <w:rsid w:val="00FE2D6D"/>
    <w:rsid w:val="00FE3777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F57A7D-4588-4885-9831-E0C93B91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70" w:hanging="270"/>
    </w:pPr>
    <w:rPr>
      <w:sz w:val="16"/>
    </w:rPr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b/>
      <w:i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ogo">
    <w:name w:val="Logo"/>
    <w:basedOn w:val="Normal"/>
    <w:rPr>
      <w:rFonts w:ascii="Times New Roman" w:hAnsi="Times New Roman"/>
      <w:sz w:val="20"/>
    </w:rPr>
  </w:style>
  <w:style w:type="paragraph" w:styleId="Date">
    <w:name w:val="Date"/>
    <w:basedOn w:val="BodyText"/>
    <w:pPr>
      <w:spacing w:line="533" w:lineRule="auto"/>
      <w:ind w:left="840" w:right="-120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B479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graham@research.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>H. Lee Moffitt Cancer Center</Company>
  <LinksUpToDate>false</LinksUpToDate>
  <CharactersWithSpaces>3391</CharactersWithSpaces>
  <SharedDoc>false</SharedDoc>
  <HLinks>
    <vt:vector size="6" baseType="variant"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mailto:lgraham@research.usf.edu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L Graham</dc:creator>
  <cp:keywords/>
  <cp:lastModifiedBy>Cloer, Sherri</cp:lastModifiedBy>
  <cp:revision>2</cp:revision>
  <cp:lastPrinted>2008-03-04T16:09:00Z</cp:lastPrinted>
  <dcterms:created xsi:type="dcterms:W3CDTF">2018-02-23T17:33:00Z</dcterms:created>
  <dcterms:modified xsi:type="dcterms:W3CDTF">2018-02-23T17:33:00Z</dcterms:modified>
</cp:coreProperties>
</file>